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张丹丹</w:t>
      </w:r>
      <w:r>
        <w:rPr>
          <w:rFonts w:hint="eastAsia"/>
          <w:sz w:val="15"/>
          <w:szCs w:val="15"/>
          <w:highlight w:val="none"/>
        </w:rPr>
        <w:t>，</w:t>
      </w:r>
      <w:r>
        <w:rPr>
          <w:rFonts w:hint="eastAsia"/>
          <w:sz w:val="15"/>
          <w:szCs w:val="15"/>
          <w:highlight w:val="none"/>
          <w:lang w:val="en-US" w:eastAsia="zh-CN"/>
        </w:rPr>
        <w:t>130126198812161526</w:t>
      </w:r>
      <w:r>
        <w:rPr>
          <w:rFonts w:hint="eastAsia"/>
          <w:sz w:val="15"/>
          <w:szCs w:val="15"/>
        </w:rPr>
        <w:t xml:space="preserve">  </w:t>
      </w:r>
      <w:r>
        <w:rPr>
          <w:rFonts w:hint="eastAsia"/>
          <w:sz w:val="15"/>
          <w:szCs w:val="15"/>
          <w:lang w:val="en-US" w:eastAsia="zh-CN"/>
        </w:rPr>
        <w:t>冀AD2580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