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张建龙</w:t>
      </w:r>
      <w:r>
        <w:rPr>
          <w:rFonts w:hint="eastAsia"/>
          <w:sz w:val="15"/>
          <w:szCs w:val="15"/>
          <w:highlight w:val="none"/>
        </w:rPr>
        <w:t>，</w:t>
      </w:r>
      <w:r>
        <w:rPr>
          <w:rFonts w:hint="eastAsia"/>
          <w:sz w:val="15"/>
          <w:szCs w:val="15"/>
          <w:highlight w:val="none"/>
          <w:lang w:val="en-US" w:eastAsia="zh-CN"/>
        </w:rPr>
        <w:t>130126198808083035</w:t>
      </w:r>
      <w:r>
        <w:rPr>
          <w:rFonts w:hint="eastAsia"/>
          <w:sz w:val="15"/>
          <w:szCs w:val="15"/>
        </w:rPr>
        <w:t xml:space="preserve">  </w:t>
      </w:r>
      <w:r>
        <w:rPr>
          <w:rFonts w:hint="eastAsia"/>
          <w:sz w:val="15"/>
          <w:szCs w:val="15"/>
          <w:lang w:val="en-US" w:eastAsia="zh-CN"/>
        </w:rPr>
        <w:t>沪A18289A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