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闫为</w:t>
      </w:r>
      <w:r>
        <w:rPr>
          <w:rFonts w:hint="eastAsia"/>
          <w:sz w:val="15"/>
          <w:szCs w:val="15"/>
          <w:highlight w:val="none"/>
        </w:rPr>
        <w:t>，</w:t>
      </w:r>
      <w:r>
        <w:rPr>
          <w:rFonts w:hint="eastAsia"/>
          <w:sz w:val="15"/>
          <w:szCs w:val="15"/>
          <w:highlight w:val="none"/>
          <w:lang w:val="en-US" w:eastAsia="zh-CN"/>
        </w:rPr>
        <w:t>130126198807283035</w:t>
      </w:r>
      <w:r>
        <w:rPr>
          <w:rFonts w:hint="eastAsia"/>
          <w:sz w:val="15"/>
          <w:szCs w:val="15"/>
        </w:rPr>
        <w:t xml:space="preserve">  </w:t>
      </w:r>
      <w:r>
        <w:rPr>
          <w:rFonts w:hint="eastAsia"/>
          <w:sz w:val="15"/>
          <w:szCs w:val="15"/>
          <w:lang w:val="en-US" w:eastAsia="zh-CN"/>
        </w:rPr>
        <w:t>冀A23957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