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刘艳艮</w:t>
      </w:r>
      <w:r>
        <w:rPr>
          <w:rFonts w:hint="eastAsia"/>
          <w:sz w:val="15"/>
          <w:szCs w:val="15"/>
          <w:highlight w:val="none"/>
        </w:rPr>
        <w:t>，</w:t>
      </w:r>
      <w:r>
        <w:rPr>
          <w:rFonts w:hint="eastAsia"/>
          <w:sz w:val="15"/>
          <w:szCs w:val="15"/>
          <w:highlight w:val="none"/>
          <w:lang w:val="en-US" w:eastAsia="zh-CN"/>
        </w:rPr>
        <w:t>130126198806131005</w:t>
      </w:r>
      <w:r>
        <w:rPr>
          <w:rFonts w:hint="eastAsia"/>
          <w:sz w:val="15"/>
          <w:szCs w:val="15"/>
        </w:rPr>
        <w:t xml:space="preserve">  </w:t>
      </w:r>
      <w:r>
        <w:rPr>
          <w:rFonts w:hint="eastAsia"/>
          <w:sz w:val="15"/>
          <w:szCs w:val="15"/>
          <w:lang w:val="en-US" w:eastAsia="zh-CN"/>
        </w:rPr>
        <w:t>冀A783F2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