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康世杰</w:t>
      </w:r>
      <w:r>
        <w:rPr>
          <w:rFonts w:hint="eastAsia"/>
          <w:sz w:val="15"/>
          <w:szCs w:val="15"/>
          <w:highlight w:val="none"/>
        </w:rPr>
        <w:t>，</w:t>
      </w:r>
      <w:r>
        <w:rPr>
          <w:rFonts w:hint="eastAsia"/>
          <w:sz w:val="15"/>
          <w:szCs w:val="15"/>
          <w:highlight w:val="none"/>
          <w:lang w:val="en-US" w:eastAsia="zh-CN"/>
        </w:rPr>
        <w:t>130126198804232718</w:t>
      </w:r>
      <w:r>
        <w:rPr>
          <w:rFonts w:hint="eastAsia"/>
          <w:sz w:val="15"/>
          <w:szCs w:val="15"/>
        </w:rPr>
        <w:t xml:space="preserve">  </w:t>
      </w:r>
      <w:r>
        <w:rPr>
          <w:rFonts w:hint="eastAsia"/>
          <w:sz w:val="15"/>
          <w:szCs w:val="15"/>
          <w:lang w:val="en-US" w:eastAsia="zh-CN"/>
        </w:rPr>
        <w:t>冀A6545Y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