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刘永吉</w:t>
      </w:r>
      <w:r>
        <w:rPr>
          <w:rFonts w:hint="eastAsia"/>
          <w:sz w:val="15"/>
          <w:szCs w:val="15"/>
          <w:highlight w:val="none"/>
        </w:rPr>
        <w:t>，</w:t>
      </w:r>
      <w:r>
        <w:rPr>
          <w:rFonts w:hint="eastAsia"/>
          <w:sz w:val="15"/>
          <w:szCs w:val="15"/>
          <w:highlight w:val="none"/>
          <w:lang w:val="en-US" w:eastAsia="zh-CN"/>
        </w:rPr>
        <w:t>13012619870521301X</w:t>
      </w:r>
      <w:r>
        <w:rPr>
          <w:rFonts w:hint="eastAsia"/>
          <w:sz w:val="15"/>
          <w:szCs w:val="15"/>
        </w:rPr>
        <w:t xml:space="preserve">  </w:t>
      </w:r>
      <w:r>
        <w:rPr>
          <w:rFonts w:hint="eastAsia"/>
          <w:sz w:val="15"/>
          <w:szCs w:val="15"/>
          <w:lang w:val="en-US" w:eastAsia="zh-CN"/>
        </w:rPr>
        <w:t>冀AL8952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