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张丽</w:t>
      </w:r>
      <w:r>
        <w:rPr>
          <w:rFonts w:hint="eastAsia"/>
          <w:sz w:val="15"/>
          <w:szCs w:val="15"/>
          <w:highlight w:val="none"/>
        </w:rPr>
        <w:t>，</w:t>
      </w:r>
      <w:r>
        <w:rPr>
          <w:rFonts w:hint="eastAsia"/>
          <w:sz w:val="15"/>
          <w:szCs w:val="15"/>
          <w:highlight w:val="none"/>
          <w:lang w:val="en-US" w:eastAsia="zh-CN"/>
        </w:rPr>
        <w:t>130126198609123022</w:t>
      </w:r>
      <w:r>
        <w:rPr>
          <w:rFonts w:hint="eastAsia"/>
          <w:sz w:val="15"/>
          <w:szCs w:val="15"/>
        </w:rPr>
        <w:t xml:space="preserve">  </w:t>
      </w:r>
      <w:r>
        <w:rPr>
          <w:rFonts w:hint="eastAsia"/>
          <w:sz w:val="15"/>
          <w:szCs w:val="15"/>
          <w:lang w:val="en-US" w:eastAsia="zh-CN"/>
        </w:rPr>
        <w:t>冀A44909D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