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尚聪军</w:t>
      </w:r>
      <w:r>
        <w:rPr>
          <w:rFonts w:hint="eastAsia"/>
          <w:sz w:val="15"/>
          <w:szCs w:val="15"/>
          <w:highlight w:val="none"/>
        </w:rPr>
        <w:t>，</w:t>
      </w:r>
      <w:r>
        <w:rPr>
          <w:rFonts w:hint="eastAsia"/>
          <w:sz w:val="15"/>
          <w:szCs w:val="15"/>
          <w:highlight w:val="none"/>
          <w:lang w:val="en-US" w:eastAsia="zh-CN"/>
        </w:rPr>
        <w:t>130126198604213037</w:t>
      </w:r>
      <w:r>
        <w:rPr>
          <w:rFonts w:hint="eastAsia"/>
          <w:sz w:val="15"/>
          <w:szCs w:val="15"/>
        </w:rPr>
        <w:t xml:space="preserve">  </w:t>
      </w:r>
      <w:r>
        <w:rPr>
          <w:rFonts w:hint="eastAsia"/>
          <w:sz w:val="15"/>
          <w:szCs w:val="15"/>
          <w:lang w:val="en-US" w:eastAsia="zh-CN"/>
        </w:rPr>
        <w:t>冀AA8455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