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闫振光</w:t>
      </w:r>
      <w:r>
        <w:rPr>
          <w:rFonts w:hint="eastAsia"/>
          <w:sz w:val="15"/>
          <w:szCs w:val="15"/>
          <w:highlight w:val="none"/>
        </w:rPr>
        <w:t>，</w:t>
      </w:r>
      <w:r>
        <w:rPr>
          <w:rFonts w:hint="eastAsia"/>
          <w:sz w:val="15"/>
          <w:szCs w:val="15"/>
          <w:highlight w:val="none"/>
          <w:lang w:val="en-US" w:eastAsia="zh-CN"/>
        </w:rPr>
        <w:t>130126198512203050</w:t>
      </w:r>
      <w:r>
        <w:rPr>
          <w:rFonts w:hint="eastAsia"/>
          <w:sz w:val="15"/>
          <w:szCs w:val="15"/>
        </w:rPr>
        <w:t xml:space="preserve">  </w:t>
      </w:r>
      <w:r>
        <w:rPr>
          <w:rFonts w:hint="eastAsia"/>
          <w:sz w:val="15"/>
          <w:szCs w:val="15"/>
          <w:lang w:val="en-US" w:eastAsia="zh-CN"/>
        </w:rPr>
        <w:t>冀A33166D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