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武静</w:t>
      </w:r>
      <w:r>
        <w:rPr>
          <w:rFonts w:hint="eastAsia"/>
          <w:sz w:val="15"/>
          <w:szCs w:val="15"/>
          <w:highlight w:val="none"/>
        </w:rPr>
        <w:t>，</w:t>
      </w:r>
      <w:r>
        <w:rPr>
          <w:rFonts w:hint="eastAsia"/>
          <w:sz w:val="15"/>
          <w:szCs w:val="15"/>
          <w:highlight w:val="none"/>
          <w:lang w:val="en-US" w:eastAsia="zh-CN"/>
        </w:rPr>
        <w:t>130126198511100324</w:t>
      </w:r>
      <w:r>
        <w:rPr>
          <w:rFonts w:hint="eastAsia"/>
          <w:sz w:val="15"/>
          <w:szCs w:val="15"/>
        </w:rPr>
        <w:t xml:space="preserve">  </w:t>
      </w:r>
      <w:r>
        <w:rPr>
          <w:rFonts w:hint="eastAsia"/>
          <w:sz w:val="15"/>
          <w:szCs w:val="15"/>
          <w:lang w:val="en-US" w:eastAsia="zh-CN"/>
        </w:rPr>
        <w:t>沪A79912D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