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聂艳玲</w:t>
      </w:r>
      <w:r>
        <w:rPr>
          <w:rFonts w:hint="eastAsia"/>
          <w:sz w:val="15"/>
          <w:szCs w:val="15"/>
          <w:highlight w:val="none"/>
        </w:rPr>
        <w:t>，</w:t>
      </w:r>
      <w:r>
        <w:rPr>
          <w:rFonts w:hint="eastAsia"/>
          <w:sz w:val="15"/>
          <w:szCs w:val="15"/>
          <w:highlight w:val="none"/>
          <w:lang w:val="en-US" w:eastAsia="zh-CN"/>
        </w:rPr>
        <w:t>130126198507040621</w:t>
      </w:r>
      <w:r>
        <w:rPr>
          <w:rFonts w:hint="eastAsia"/>
          <w:sz w:val="15"/>
          <w:szCs w:val="15"/>
        </w:rPr>
        <w:t xml:space="preserve">  </w:t>
      </w:r>
      <w:r>
        <w:rPr>
          <w:rFonts w:hint="eastAsia"/>
          <w:sz w:val="15"/>
          <w:szCs w:val="15"/>
          <w:lang w:val="en-US" w:eastAsia="zh-CN"/>
        </w:rPr>
        <w:t>冀A33499D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