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李岗</w:t>
      </w:r>
      <w:r>
        <w:rPr>
          <w:rFonts w:hint="eastAsia"/>
          <w:sz w:val="15"/>
          <w:szCs w:val="15"/>
          <w:highlight w:val="none"/>
        </w:rPr>
        <w:t>，</w:t>
      </w:r>
      <w:r>
        <w:rPr>
          <w:rFonts w:hint="eastAsia"/>
          <w:sz w:val="15"/>
          <w:szCs w:val="15"/>
          <w:highlight w:val="none"/>
          <w:lang w:val="en-US" w:eastAsia="zh-CN"/>
        </w:rPr>
        <w:t>130126198407140916</w:t>
      </w:r>
      <w:r>
        <w:rPr>
          <w:rFonts w:hint="eastAsia"/>
          <w:sz w:val="15"/>
          <w:szCs w:val="15"/>
        </w:rPr>
        <w:t xml:space="preserve">  </w:t>
      </w:r>
      <w:r>
        <w:rPr>
          <w:rFonts w:hint="eastAsia"/>
          <w:sz w:val="15"/>
          <w:szCs w:val="15"/>
          <w:lang w:val="en-US" w:eastAsia="zh-CN"/>
        </w:rPr>
        <w:t>冀A2581V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