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索二刚</w:t>
      </w:r>
      <w:r>
        <w:rPr>
          <w:rFonts w:hint="eastAsia"/>
          <w:sz w:val="15"/>
          <w:szCs w:val="15"/>
          <w:highlight w:val="none"/>
        </w:rPr>
        <w:t>，</w:t>
      </w:r>
      <w:r>
        <w:rPr>
          <w:rFonts w:hint="eastAsia"/>
          <w:sz w:val="15"/>
          <w:szCs w:val="15"/>
          <w:highlight w:val="none"/>
          <w:lang w:val="en-US" w:eastAsia="zh-CN"/>
        </w:rPr>
        <w:t>13012619830714301X</w:t>
      </w:r>
      <w:r>
        <w:rPr>
          <w:rFonts w:hint="eastAsia"/>
          <w:sz w:val="15"/>
          <w:szCs w:val="15"/>
        </w:rPr>
        <w:t xml:space="preserve">  </w:t>
      </w:r>
      <w:r>
        <w:rPr>
          <w:rFonts w:hint="eastAsia"/>
          <w:sz w:val="15"/>
          <w:szCs w:val="15"/>
          <w:lang w:val="en-US" w:eastAsia="zh-CN"/>
        </w:rPr>
        <w:t>冀AG3682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