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程晓伟</w:t>
      </w:r>
      <w:r>
        <w:rPr>
          <w:rFonts w:hint="eastAsia"/>
          <w:sz w:val="15"/>
          <w:szCs w:val="15"/>
          <w:highlight w:val="none"/>
        </w:rPr>
        <w:t>，</w:t>
      </w:r>
      <w:r>
        <w:rPr>
          <w:rFonts w:hint="eastAsia"/>
          <w:sz w:val="15"/>
          <w:szCs w:val="15"/>
          <w:highlight w:val="none"/>
          <w:lang w:val="en-US" w:eastAsia="zh-CN"/>
        </w:rPr>
        <w:t>130126198211301810</w:t>
      </w:r>
      <w:r>
        <w:rPr>
          <w:rFonts w:hint="eastAsia"/>
          <w:sz w:val="15"/>
          <w:szCs w:val="15"/>
        </w:rPr>
        <w:t xml:space="preserve">  </w:t>
      </w:r>
      <w:r>
        <w:rPr>
          <w:rFonts w:hint="eastAsia"/>
          <w:sz w:val="15"/>
          <w:szCs w:val="15"/>
          <w:lang w:val="en-US" w:eastAsia="zh-CN"/>
        </w:rPr>
        <w:t>冀AY3465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