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刘彦方</w:t>
      </w:r>
      <w:r>
        <w:rPr>
          <w:rFonts w:hint="eastAsia"/>
          <w:sz w:val="15"/>
          <w:szCs w:val="15"/>
          <w:highlight w:val="none"/>
        </w:rPr>
        <w:t>，</w:t>
      </w:r>
      <w:r>
        <w:rPr>
          <w:rFonts w:hint="eastAsia"/>
          <w:sz w:val="15"/>
          <w:szCs w:val="15"/>
          <w:highlight w:val="none"/>
          <w:lang w:val="en-US" w:eastAsia="zh-CN"/>
        </w:rPr>
        <w:t>130126198210070934</w:t>
      </w:r>
      <w:r>
        <w:rPr>
          <w:rFonts w:hint="eastAsia"/>
          <w:sz w:val="15"/>
          <w:szCs w:val="15"/>
        </w:rPr>
        <w:t xml:space="preserve">  </w:t>
      </w:r>
      <w:r>
        <w:rPr>
          <w:rFonts w:hint="eastAsia"/>
          <w:sz w:val="15"/>
          <w:szCs w:val="15"/>
          <w:lang w:val="en-US" w:eastAsia="zh-CN"/>
        </w:rPr>
        <w:t>冀A37225D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