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兰小静</w:t>
      </w:r>
      <w:r>
        <w:rPr>
          <w:rFonts w:hint="eastAsia"/>
          <w:sz w:val="15"/>
          <w:szCs w:val="15"/>
          <w:highlight w:val="none"/>
        </w:rPr>
        <w:t>，</w:t>
      </w:r>
      <w:r>
        <w:rPr>
          <w:rFonts w:hint="eastAsia"/>
          <w:sz w:val="15"/>
          <w:szCs w:val="15"/>
          <w:highlight w:val="none"/>
          <w:lang w:val="en-US" w:eastAsia="zh-CN"/>
        </w:rPr>
        <w:t>130126198108071826</w:t>
      </w:r>
      <w:r>
        <w:rPr>
          <w:rFonts w:hint="eastAsia"/>
          <w:sz w:val="15"/>
          <w:szCs w:val="15"/>
        </w:rPr>
        <w:t xml:space="preserve">  </w:t>
      </w:r>
      <w:r>
        <w:rPr>
          <w:rFonts w:hint="eastAsia"/>
          <w:sz w:val="15"/>
          <w:szCs w:val="15"/>
          <w:lang w:val="en-US" w:eastAsia="zh-CN"/>
        </w:rPr>
        <w:t>冀A535U6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