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刘伟峰</w:t>
      </w:r>
      <w:r>
        <w:rPr>
          <w:rFonts w:hint="eastAsia"/>
          <w:sz w:val="15"/>
          <w:szCs w:val="15"/>
          <w:highlight w:val="none"/>
        </w:rPr>
        <w:t>，</w:t>
      </w:r>
      <w:r>
        <w:rPr>
          <w:rFonts w:hint="eastAsia"/>
          <w:sz w:val="15"/>
          <w:szCs w:val="15"/>
          <w:highlight w:val="none"/>
          <w:lang w:val="en-US" w:eastAsia="zh-CN"/>
        </w:rPr>
        <w:t>130126197209290919</w:t>
      </w:r>
      <w:r>
        <w:rPr>
          <w:rFonts w:hint="eastAsia"/>
          <w:sz w:val="15"/>
          <w:szCs w:val="15"/>
        </w:rPr>
        <w:t xml:space="preserve">  </w:t>
      </w:r>
      <w:r>
        <w:rPr>
          <w:rFonts w:hint="eastAsia"/>
          <w:sz w:val="15"/>
          <w:szCs w:val="15"/>
          <w:lang w:val="en-US" w:eastAsia="zh-CN"/>
        </w:rPr>
        <w:t>冀A5225W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