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张尚</w:t>
      </w:r>
      <w:r>
        <w:rPr>
          <w:rFonts w:hint="eastAsia"/>
          <w:sz w:val="15"/>
          <w:szCs w:val="15"/>
          <w:highlight w:val="none"/>
        </w:rPr>
        <w:t>，</w:t>
      </w:r>
      <w:r>
        <w:rPr>
          <w:rFonts w:hint="eastAsia"/>
          <w:sz w:val="15"/>
          <w:szCs w:val="15"/>
          <w:highlight w:val="none"/>
          <w:lang w:val="en-US" w:eastAsia="zh-CN"/>
        </w:rPr>
        <w:t>130123199203140020</w:t>
      </w:r>
      <w:r>
        <w:rPr>
          <w:rFonts w:hint="eastAsia"/>
          <w:sz w:val="15"/>
          <w:szCs w:val="15"/>
        </w:rPr>
        <w:t xml:space="preserve">  </w:t>
      </w:r>
      <w:r>
        <w:rPr>
          <w:rFonts w:hint="eastAsia"/>
          <w:sz w:val="15"/>
          <w:szCs w:val="15"/>
          <w:lang w:val="en-US" w:eastAsia="zh-CN"/>
        </w:rPr>
        <w:t>冀A02986D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