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张志春</w:t>
      </w:r>
      <w:r>
        <w:rPr>
          <w:rFonts w:hint="eastAsia"/>
          <w:sz w:val="15"/>
          <w:szCs w:val="15"/>
          <w:highlight w:val="none"/>
        </w:rPr>
        <w:t>，</w:t>
      </w:r>
      <w:r>
        <w:rPr>
          <w:rFonts w:hint="eastAsia"/>
          <w:sz w:val="15"/>
          <w:szCs w:val="15"/>
          <w:highlight w:val="none"/>
          <w:lang w:val="en-US" w:eastAsia="zh-CN"/>
        </w:rPr>
        <w:t>130123198701070155</w:t>
      </w:r>
      <w:r>
        <w:rPr>
          <w:rFonts w:hint="eastAsia"/>
          <w:sz w:val="15"/>
          <w:szCs w:val="15"/>
        </w:rPr>
        <w:t xml:space="preserve">  </w:t>
      </w:r>
      <w:r>
        <w:rPr>
          <w:rFonts w:hint="eastAsia"/>
          <w:sz w:val="15"/>
          <w:szCs w:val="15"/>
          <w:lang w:val="en-US" w:eastAsia="zh-CN"/>
        </w:rPr>
        <w:t>冀ACF407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