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周立娜</w:t>
      </w:r>
      <w:r>
        <w:rPr>
          <w:rFonts w:hint="eastAsia"/>
          <w:sz w:val="15"/>
          <w:szCs w:val="15"/>
          <w:highlight w:val="none"/>
        </w:rPr>
        <w:t>，</w:t>
      </w:r>
      <w:r>
        <w:rPr>
          <w:rFonts w:hint="eastAsia"/>
          <w:sz w:val="15"/>
          <w:szCs w:val="15"/>
          <w:highlight w:val="none"/>
          <w:lang w:val="en-US" w:eastAsia="zh-CN"/>
        </w:rPr>
        <w:t>130123198404245422</w:t>
      </w:r>
      <w:r>
        <w:rPr>
          <w:rFonts w:hint="eastAsia"/>
          <w:sz w:val="15"/>
          <w:szCs w:val="15"/>
        </w:rPr>
        <w:t xml:space="preserve">  </w:t>
      </w:r>
      <w:r>
        <w:rPr>
          <w:rFonts w:hint="eastAsia"/>
          <w:sz w:val="15"/>
          <w:szCs w:val="15"/>
          <w:lang w:val="en-US" w:eastAsia="zh-CN"/>
        </w:rPr>
        <w:t>冀AFN126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