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刘双进</w:t>
      </w:r>
      <w:r>
        <w:rPr>
          <w:rFonts w:hint="eastAsia"/>
          <w:sz w:val="15"/>
          <w:szCs w:val="15"/>
          <w:highlight w:val="none"/>
        </w:rPr>
        <w:t>，</w:t>
      </w:r>
      <w:r>
        <w:rPr>
          <w:rFonts w:hint="eastAsia"/>
          <w:sz w:val="15"/>
          <w:szCs w:val="15"/>
          <w:highlight w:val="none"/>
          <w:lang w:val="en-US" w:eastAsia="zh-CN"/>
        </w:rPr>
        <w:t>13012319780115153X</w:t>
      </w:r>
      <w:r>
        <w:rPr>
          <w:rFonts w:hint="eastAsia"/>
          <w:sz w:val="15"/>
          <w:szCs w:val="15"/>
        </w:rPr>
        <w:t xml:space="preserve">  </w:t>
      </w:r>
      <w:r>
        <w:rPr>
          <w:rFonts w:hint="eastAsia"/>
          <w:sz w:val="15"/>
          <w:szCs w:val="15"/>
          <w:lang w:val="en-US" w:eastAsia="zh-CN"/>
        </w:rPr>
        <w:t>冀A951JY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