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马晓鹏</w:t>
      </w:r>
      <w:r>
        <w:rPr>
          <w:rFonts w:hint="eastAsia"/>
          <w:sz w:val="15"/>
          <w:szCs w:val="15"/>
          <w:highlight w:val="none"/>
        </w:rPr>
        <w:t>，</w:t>
      </w:r>
      <w:r>
        <w:rPr>
          <w:rFonts w:hint="eastAsia"/>
          <w:sz w:val="15"/>
          <w:szCs w:val="15"/>
          <w:highlight w:val="none"/>
          <w:lang w:val="en-US" w:eastAsia="zh-CN"/>
        </w:rPr>
        <w:t>130121198810212615</w:t>
      </w:r>
      <w:r>
        <w:rPr>
          <w:rFonts w:hint="eastAsia"/>
          <w:sz w:val="15"/>
          <w:szCs w:val="15"/>
        </w:rPr>
        <w:t xml:space="preserve">  </w:t>
      </w:r>
      <w:r>
        <w:rPr>
          <w:rFonts w:hint="eastAsia"/>
          <w:sz w:val="15"/>
          <w:szCs w:val="15"/>
          <w:lang w:val="en-US" w:eastAsia="zh-CN"/>
        </w:rPr>
        <w:t>冀A78683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