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高彦军</w:t>
      </w:r>
      <w:r>
        <w:rPr>
          <w:rFonts w:hint="eastAsia"/>
          <w:sz w:val="15"/>
          <w:szCs w:val="15"/>
          <w:highlight w:val="none"/>
        </w:rPr>
        <w:t>，</w:t>
      </w:r>
      <w:r>
        <w:rPr>
          <w:rFonts w:hint="eastAsia"/>
          <w:sz w:val="15"/>
          <w:szCs w:val="15"/>
          <w:highlight w:val="none"/>
          <w:lang w:val="en-US" w:eastAsia="zh-CN"/>
        </w:rPr>
        <w:t>130107197502151513</w:t>
      </w:r>
      <w:r>
        <w:rPr>
          <w:rFonts w:hint="eastAsia"/>
          <w:sz w:val="15"/>
          <w:szCs w:val="15"/>
        </w:rPr>
        <w:t xml:space="preserve">  </w:t>
      </w:r>
      <w:r>
        <w:rPr>
          <w:rFonts w:hint="eastAsia"/>
          <w:sz w:val="15"/>
          <w:szCs w:val="15"/>
          <w:lang w:val="en-US" w:eastAsia="zh-CN"/>
        </w:rPr>
        <w:t>冀AZT287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