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天津恒胜物流有限公司</w:t>
      </w:r>
      <w:r>
        <w:rPr>
          <w:rFonts w:hint="eastAsia"/>
          <w:sz w:val="15"/>
          <w:szCs w:val="15"/>
          <w:highlight w:val="none"/>
        </w:rPr>
        <w:t>，</w:t>
      </w:r>
      <w:r>
        <w:rPr>
          <w:rFonts w:hint="eastAsia"/>
          <w:sz w:val="15"/>
          <w:szCs w:val="15"/>
          <w:highlight w:val="none"/>
          <w:lang w:val="en-US" w:eastAsia="zh-CN"/>
        </w:rPr>
        <w:t>91120118MA06M0BE7J</w:t>
      </w:r>
      <w:r>
        <w:rPr>
          <w:rFonts w:hint="eastAsia"/>
          <w:sz w:val="15"/>
          <w:szCs w:val="15"/>
        </w:rPr>
        <w:t xml:space="preserve">  </w:t>
      </w:r>
      <w:r>
        <w:rPr>
          <w:rFonts w:hint="eastAsia"/>
          <w:sz w:val="15"/>
          <w:szCs w:val="15"/>
          <w:lang w:val="en-US" w:eastAsia="zh-CN"/>
        </w:rPr>
        <w:t>津A23635D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