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于长龙</w:t>
      </w:r>
      <w:r>
        <w:rPr>
          <w:rFonts w:hint="eastAsia"/>
          <w:sz w:val="15"/>
          <w:szCs w:val="15"/>
          <w:highlight w:val="none"/>
        </w:rPr>
        <w:t>，</w:t>
      </w:r>
      <w:r>
        <w:rPr>
          <w:rFonts w:hint="eastAsia"/>
          <w:sz w:val="15"/>
          <w:szCs w:val="15"/>
          <w:highlight w:val="none"/>
          <w:lang w:val="en-US" w:eastAsia="zh-CN"/>
        </w:rPr>
        <w:t>232131197703043610</w:t>
      </w:r>
      <w:r>
        <w:rPr>
          <w:rFonts w:hint="eastAsia"/>
          <w:sz w:val="15"/>
          <w:szCs w:val="15"/>
        </w:rPr>
        <w:t xml:space="preserve">  </w:t>
      </w:r>
      <w:r>
        <w:rPr>
          <w:rFonts w:hint="eastAsia"/>
          <w:sz w:val="15"/>
          <w:szCs w:val="15"/>
          <w:lang w:val="en-US" w:eastAsia="zh-CN"/>
        </w:rPr>
        <w:t>冀AKG241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