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祝令发</w:t>
      </w:r>
      <w:r>
        <w:rPr>
          <w:rFonts w:hint="eastAsia"/>
          <w:sz w:val="15"/>
          <w:szCs w:val="15"/>
          <w:highlight w:val="none"/>
        </w:rPr>
        <w:t>，</w:t>
      </w:r>
      <w:r>
        <w:rPr>
          <w:rFonts w:hint="eastAsia"/>
          <w:sz w:val="15"/>
          <w:szCs w:val="15"/>
          <w:highlight w:val="none"/>
          <w:lang w:val="en-US" w:eastAsia="zh-CN"/>
        </w:rPr>
        <w:t>232131197512203618</w:t>
      </w:r>
      <w:r>
        <w:rPr>
          <w:rFonts w:hint="eastAsia"/>
          <w:sz w:val="15"/>
          <w:szCs w:val="15"/>
        </w:rPr>
        <w:t xml:space="preserve">  </w:t>
      </w:r>
      <w:r>
        <w:rPr>
          <w:rFonts w:hint="eastAsia"/>
          <w:sz w:val="15"/>
          <w:szCs w:val="15"/>
          <w:lang w:val="en-US" w:eastAsia="zh-CN"/>
        </w:rPr>
        <w:t>冀AHE983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