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谢守君</w:t>
      </w:r>
      <w:r>
        <w:rPr>
          <w:rFonts w:hint="eastAsia"/>
          <w:sz w:val="15"/>
          <w:szCs w:val="15"/>
          <w:highlight w:val="none"/>
        </w:rPr>
        <w:t>，</w:t>
      </w:r>
      <w:r>
        <w:rPr>
          <w:rFonts w:hint="eastAsia"/>
          <w:sz w:val="15"/>
          <w:szCs w:val="15"/>
          <w:highlight w:val="none"/>
          <w:lang w:val="en-US" w:eastAsia="zh-CN"/>
        </w:rPr>
        <w:t>230506197401290433</w:t>
      </w:r>
      <w:r>
        <w:rPr>
          <w:rFonts w:hint="eastAsia"/>
          <w:sz w:val="15"/>
          <w:szCs w:val="15"/>
        </w:rPr>
        <w:t xml:space="preserve">  </w:t>
      </w:r>
      <w:r>
        <w:rPr>
          <w:rFonts w:hint="eastAsia"/>
          <w:sz w:val="15"/>
          <w:szCs w:val="15"/>
          <w:lang w:val="en-US" w:eastAsia="zh-CN"/>
        </w:rPr>
        <w:t>冀ATK939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