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王殿贵</w:t>
      </w:r>
      <w:r>
        <w:rPr>
          <w:rFonts w:hint="eastAsia"/>
          <w:sz w:val="15"/>
          <w:szCs w:val="15"/>
          <w:highlight w:val="none"/>
        </w:rPr>
        <w:t>，</w:t>
      </w:r>
      <w:r>
        <w:rPr>
          <w:rFonts w:hint="eastAsia"/>
          <w:sz w:val="15"/>
          <w:szCs w:val="15"/>
          <w:highlight w:val="none"/>
          <w:lang w:val="en-US" w:eastAsia="zh-CN"/>
        </w:rPr>
        <w:t>230302197607184218</w:t>
      </w:r>
      <w:r>
        <w:rPr>
          <w:rFonts w:hint="eastAsia"/>
          <w:sz w:val="15"/>
          <w:szCs w:val="15"/>
        </w:rPr>
        <w:t xml:space="preserve">  </w:t>
      </w:r>
      <w:r>
        <w:rPr>
          <w:rFonts w:hint="eastAsia"/>
          <w:sz w:val="15"/>
          <w:szCs w:val="15"/>
          <w:lang w:val="en-US" w:eastAsia="zh-CN"/>
        </w:rPr>
        <w:t>冀AMN400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