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宁世超</w:t>
      </w:r>
      <w:r>
        <w:rPr>
          <w:rFonts w:hint="eastAsia"/>
          <w:sz w:val="15"/>
          <w:szCs w:val="15"/>
          <w:highlight w:val="none"/>
        </w:rPr>
        <w:t>，</w:t>
      </w:r>
      <w:r>
        <w:rPr>
          <w:rFonts w:hint="eastAsia"/>
          <w:sz w:val="15"/>
          <w:szCs w:val="15"/>
          <w:highlight w:val="none"/>
          <w:lang w:val="en-US" w:eastAsia="zh-CN"/>
        </w:rPr>
        <w:t>210882198912273938</w:t>
      </w:r>
      <w:r>
        <w:rPr>
          <w:rFonts w:hint="eastAsia"/>
          <w:sz w:val="15"/>
          <w:szCs w:val="15"/>
        </w:rPr>
        <w:t xml:space="preserve">  </w:t>
      </w:r>
      <w:r>
        <w:rPr>
          <w:rFonts w:hint="eastAsia"/>
          <w:sz w:val="15"/>
          <w:szCs w:val="15"/>
          <w:lang w:val="en-US" w:eastAsia="zh-CN"/>
        </w:rPr>
        <w:t>鲁L05882D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