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宁世超</w:t>
      </w:r>
      <w:r>
        <w:rPr>
          <w:rFonts w:hint="eastAsia"/>
          <w:sz w:val="15"/>
          <w:szCs w:val="15"/>
          <w:highlight w:val="none"/>
        </w:rPr>
        <w:t>，</w:t>
      </w:r>
      <w:r>
        <w:rPr>
          <w:rFonts w:hint="eastAsia"/>
          <w:sz w:val="15"/>
          <w:szCs w:val="15"/>
          <w:highlight w:val="none"/>
          <w:lang w:val="en-US" w:eastAsia="zh-CN"/>
        </w:rPr>
        <w:t>210882198912273938</w:t>
      </w:r>
      <w:r>
        <w:rPr>
          <w:rFonts w:hint="eastAsia"/>
          <w:sz w:val="15"/>
          <w:szCs w:val="15"/>
        </w:rPr>
        <w:t xml:space="preserve">  </w:t>
      </w:r>
      <w:r>
        <w:rPr>
          <w:rFonts w:hint="eastAsia"/>
          <w:sz w:val="15"/>
          <w:szCs w:val="15"/>
          <w:lang w:val="en-US" w:eastAsia="zh-CN"/>
        </w:rPr>
        <w:t>冀B07452D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