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庄旭</w:t>
      </w:r>
      <w:r>
        <w:rPr>
          <w:rFonts w:hint="eastAsia"/>
          <w:sz w:val="15"/>
          <w:szCs w:val="15"/>
          <w:highlight w:val="none"/>
        </w:rPr>
        <w:t>，</w:t>
      </w:r>
      <w:r>
        <w:rPr>
          <w:rFonts w:hint="eastAsia"/>
          <w:sz w:val="15"/>
          <w:szCs w:val="15"/>
          <w:highlight w:val="none"/>
          <w:lang w:val="en-US" w:eastAsia="zh-CN"/>
        </w:rPr>
        <w:t>150428200701154318</w:t>
      </w:r>
      <w:r>
        <w:rPr>
          <w:rFonts w:hint="eastAsia"/>
          <w:sz w:val="15"/>
          <w:szCs w:val="15"/>
        </w:rPr>
        <w:t xml:space="preserve">  </w:t>
      </w:r>
      <w:r>
        <w:rPr>
          <w:rFonts w:hint="eastAsia"/>
          <w:sz w:val="15"/>
          <w:szCs w:val="15"/>
          <w:lang w:val="en-US" w:eastAsia="zh-CN"/>
        </w:rPr>
        <w:t>冀B3909Z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