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付伟</w:t>
      </w:r>
      <w:r>
        <w:rPr>
          <w:rFonts w:hint="eastAsia"/>
          <w:sz w:val="15"/>
          <w:szCs w:val="15"/>
          <w:highlight w:val="none"/>
        </w:rPr>
        <w:t>，</w:t>
      </w:r>
      <w:r>
        <w:rPr>
          <w:rFonts w:hint="eastAsia"/>
          <w:sz w:val="15"/>
          <w:szCs w:val="15"/>
          <w:highlight w:val="none"/>
          <w:lang w:val="en-US" w:eastAsia="zh-CN"/>
        </w:rPr>
        <w:t>142627198305240016</w:t>
      </w:r>
      <w:r>
        <w:rPr>
          <w:rFonts w:hint="eastAsia"/>
          <w:sz w:val="15"/>
          <w:szCs w:val="15"/>
        </w:rPr>
        <w:t xml:space="preserve">  </w:t>
      </w:r>
      <w:r>
        <w:rPr>
          <w:rFonts w:hint="eastAsia"/>
          <w:sz w:val="15"/>
          <w:szCs w:val="15"/>
          <w:lang w:val="en-US" w:eastAsia="zh-CN"/>
        </w:rPr>
        <w:t>冀A53809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