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李正伟</w:t>
      </w:r>
      <w:r>
        <w:rPr>
          <w:rFonts w:hint="eastAsia"/>
          <w:sz w:val="15"/>
          <w:szCs w:val="15"/>
          <w:highlight w:val="none"/>
        </w:rPr>
        <w:t>，</w:t>
      </w:r>
      <w:r>
        <w:rPr>
          <w:rFonts w:hint="eastAsia"/>
          <w:sz w:val="15"/>
          <w:szCs w:val="15"/>
          <w:highlight w:val="none"/>
          <w:lang w:val="en-US" w:eastAsia="zh-CN"/>
        </w:rPr>
        <w:t>142223198905275813</w:t>
      </w:r>
      <w:r>
        <w:rPr>
          <w:rFonts w:hint="eastAsia"/>
          <w:sz w:val="15"/>
          <w:szCs w:val="15"/>
        </w:rPr>
        <w:t xml:space="preserve">  </w:t>
      </w:r>
      <w:r>
        <w:rPr>
          <w:rFonts w:hint="eastAsia"/>
          <w:sz w:val="15"/>
          <w:szCs w:val="15"/>
          <w:lang w:val="en-US" w:eastAsia="zh-CN"/>
        </w:rPr>
        <w:t>冀AR3407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