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张丽国</w:t>
      </w:r>
      <w:r>
        <w:rPr>
          <w:rFonts w:hint="eastAsia"/>
          <w:sz w:val="15"/>
          <w:szCs w:val="15"/>
          <w:highlight w:val="none"/>
        </w:rPr>
        <w:t>，</w:t>
      </w:r>
      <w:r>
        <w:rPr>
          <w:rFonts w:hint="eastAsia"/>
          <w:sz w:val="15"/>
          <w:szCs w:val="15"/>
          <w:highlight w:val="none"/>
          <w:lang w:val="en-US" w:eastAsia="zh-CN"/>
        </w:rPr>
        <w:t>142223198305081812</w:t>
      </w:r>
      <w:r>
        <w:rPr>
          <w:rFonts w:hint="eastAsia"/>
          <w:sz w:val="15"/>
          <w:szCs w:val="15"/>
        </w:rPr>
        <w:t xml:space="preserve">  </w:t>
      </w:r>
      <w:r>
        <w:rPr>
          <w:rFonts w:hint="eastAsia"/>
          <w:sz w:val="15"/>
          <w:szCs w:val="15"/>
          <w:lang w:val="en-US" w:eastAsia="zh-CN"/>
        </w:rPr>
        <w:t>冀A31820D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