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刘保华</w:t>
      </w:r>
      <w:r>
        <w:rPr>
          <w:rFonts w:hint="eastAsia"/>
          <w:sz w:val="15"/>
          <w:szCs w:val="15"/>
          <w:highlight w:val="none"/>
        </w:rPr>
        <w:t>，</w:t>
      </w:r>
      <w:r>
        <w:rPr>
          <w:rFonts w:hint="eastAsia"/>
          <w:sz w:val="15"/>
          <w:szCs w:val="15"/>
          <w:highlight w:val="none"/>
          <w:lang w:val="en-US" w:eastAsia="zh-CN"/>
        </w:rPr>
        <w:t>140322197902150612</w:t>
      </w:r>
      <w:r>
        <w:rPr>
          <w:rFonts w:hint="eastAsia"/>
          <w:sz w:val="15"/>
          <w:szCs w:val="15"/>
        </w:rPr>
        <w:t xml:space="preserve">  </w:t>
      </w:r>
      <w:r>
        <w:rPr>
          <w:rFonts w:hint="eastAsia"/>
          <w:sz w:val="15"/>
          <w:szCs w:val="15"/>
          <w:lang w:val="en-US" w:eastAsia="zh-CN"/>
        </w:rPr>
        <w:t>冀APQ527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