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侯永鹏</w:t>
      </w:r>
      <w:r>
        <w:rPr>
          <w:rFonts w:hint="eastAsia"/>
          <w:sz w:val="15"/>
          <w:szCs w:val="15"/>
          <w:highlight w:val="none"/>
        </w:rPr>
        <w:t>，</w:t>
      </w:r>
      <w:r>
        <w:rPr>
          <w:rFonts w:hint="eastAsia"/>
          <w:sz w:val="15"/>
          <w:szCs w:val="15"/>
          <w:highlight w:val="none"/>
          <w:lang w:val="en-US" w:eastAsia="zh-CN"/>
        </w:rPr>
        <w:t>133025198012121615</w:t>
      </w:r>
      <w:r>
        <w:rPr>
          <w:rFonts w:hint="eastAsia"/>
          <w:sz w:val="15"/>
          <w:szCs w:val="15"/>
        </w:rPr>
        <w:t xml:space="preserve">  </w:t>
      </w:r>
      <w:r>
        <w:rPr>
          <w:rFonts w:hint="eastAsia"/>
          <w:sz w:val="15"/>
          <w:szCs w:val="15"/>
          <w:lang w:val="en-US" w:eastAsia="zh-CN"/>
        </w:rPr>
        <w:t>冀T00605D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