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张文红</w:t>
      </w:r>
      <w:r>
        <w:rPr>
          <w:rFonts w:hint="eastAsia"/>
          <w:sz w:val="15"/>
          <w:szCs w:val="15"/>
          <w:highlight w:val="none"/>
        </w:rPr>
        <w:t>，</w:t>
      </w:r>
      <w:r>
        <w:rPr>
          <w:rFonts w:hint="eastAsia"/>
          <w:sz w:val="15"/>
          <w:szCs w:val="15"/>
          <w:highlight w:val="none"/>
          <w:lang w:val="en-US" w:eastAsia="zh-CN"/>
        </w:rPr>
        <w:t>133023196901212419</w:t>
      </w:r>
      <w:r>
        <w:rPr>
          <w:rFonts w:hint="eastAsia"/>
          <w:sz w:val="15"/>
          <w:szCs w:val="15"/>
        </w:rPr>
        <w:t xml:space="preserve">  </w:t>
      </w:r>
      <w:r>
        <w:rPr>
          <w:rFonts w:hint="eastAsia"/>
          <w:sz w:val="15"/>
          <w:szCs w:val="15"/>
          <w:lang w:val="en-US" w:eastAsia="zh-CN"/>
        </w:rPr>
        <w:t>沪A90872D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