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崔艳鹏</w:t>
      </w:r>
      <w:r>
        <w:rPr>
          <w:rFonts w:hint="eastAsia"/>
          <w:sz w:val="15"/>
          <w:szCs w:val="15"/>
          <w:highlight w:val="none"/>
        </w:rPr>
        <w:t>，</w:t>
      </w:r>
      <w:r>
        <w:rPr>
          <w:rFonts w:hint="eastAsia"/>
          <w:sz w:val="15"/>
          <w:szCs w:val="15"/>
          <w:highlight w:val="none"/>
          <w:lang w:val="en-US" w:eastAsia="zh-CN"/>
        </w:rPr>
        <w:t>132423198105091628</w:t>
      </w:r>
      <w:r>
        <w:rPr>
          <w:rFonts w:hint="eastAsia"/>
          <w:sz w:val="15"/>
          <w:szCs w:val="15"/>
        </w:rPr>
        <w:t xml:space="preserve">  </w:t>
      </w:r>
      <w:r>
        <w:rPr>
          <w:rFonts w:hint="eastAsia"/>
          <w:sz w:val="15"/>
          <w:szCs w:val="15"/>
          <w:lang w:val="en-US" w:eastAsia="zh-CN"/>
        </w:rPr>
        <w:t>冀FP2408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