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赵刚</w:t>
      </w:r>
      <w:r>
        <w:rPr>
          <w:rFonts w:hint="eastAsia"/>
          <w:sz w:val="15"/>
          <w:szCs w:val="15"/>
          <w:highlight w:val="none"/>
        </w:rPr>
        <w:t>，</w:t>
      </w:r>
      <w:r>
        <w:rPr>
          <w:rFonts w:hint="eastAsia"/>
          <w:sz w:val="15"/>
          <w:szCs w:val="15"/>
          <w:highlight w:val="none"/>
          <w:lang w:val="en-US" w:eastAsia="zh-CN"/>
        </w:rPr>
        <w:t>132337197809263190</w:t>
      </w:r>
      <w:r>
        <w:rPr>
          <w:rFonts w:hint="eastAsia"/>
          <w:sz w:val="15"/>
          <w:szCs w:val="15"/>
        </w:rPr>
        <w:t xml:space="preserve">  </w:t>
      </w:r>
      <w:r>
        <w:rPr>
          <w:rFonts w:hint="eastAsia"/>
          <w:sz w:val="15"/>
          <w:szCs w:val="15"/>
          <w:lang w:val="en-US" w:eastAsia="zh-CN"/>
        </w:rPr>
        <w:t>冀A91341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