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李二军</w:t>
      </w:r>
      <w:r>
        <w:rPr>
          <w:rFonts w:hint="eastAsia"/>
          <w:sz w:val="15"/>
          <w:szCs w:val="15"/>
          <w:highlight w:val="none"/>
        </w:rPr>
        <w:t>，</w:t>
      </w:r>
      <w:r>
        <w:rPr>
          <w:rFonts w:hint="eastAsia"/>
          <w:sz w:val="15"/>
          <w:szCs w:val="15"/>
          <w:highlight w:val="none"/>
          <w:lang w:val="en-US" w:eastAsia="zh-CN"/>
        </w:rPr>
        <w:t>132337197208191435</w:t>
      </w:r>
      <w:r>
        <w:rPr>
          <w:rFonts w:hint="eastAsia"/>
          <w:sz w:val="15"/>
          <w:szCs w:val="15"/>
        </w:rPr>
        <w:t xml:space="preserve">  </w:t>
      </w:r>
      <w:r>
        <w:rPr>
          <w:rFonts w:hint="eastAsia"/>
          <w:sz w:val="15"/>
          <w:szCs w:val="15"/>
          <w:lang w:val="en-US" w:eastAsia="zh-CN"/>
        </w:rPr>
        <w:t>冀A2U847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