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袁艳辉</w:t>
      </w:r>
      <w:r>
        <w:rPr>
          <w:rFonts w:hint="eastAsia"/>
          <w:sz w:val="15"/>
          <w:szCs w:val="15"/>
          <w:highlight w:val="none"/>
        </w:rPr>
        <w:t>，</w:t>
      </w:r>
      <w:r>
        <w:rPr>
          <w:rFonts w:hint="eastAsia"/>
          <w:sz w:val="15"/>
          <w:szCs w:val="15"/>
          <w:highlight w:val="none"/>
          <w:lang w:val="en-US" w:eastAsia="zh-CN"/>
        </w:rPr>
        <w:t>132336198112150039</w:t>
      </w:r>
      <w:r>
        <w:rPr>
          <w:rFonts w:hint="eastAsia"/>
          <w:sz w:val="15"/>
          <w:szCs w:val="15"/>
        </w:rPr>
        <w:t xml:space="preserve">  </w:t>
      </w:r>
      <w:r>
        <w:rPr>
          <w:rFonts w:hint="eastAsia"/>
          <w:sz w:val="15"/>
          <w:szCs w:val="15"/>
          <w:lang w:val="en-US" w:eastAsia="zh-CN"/>
        </w:rPr>
        <w:t>冀AR1700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