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王毓</w:t>
      </w:r>
      <w:r>
        <w:rPr>
          <w:rFonts w:hint="eastAsia"/>
          <w:sz w:val="15"/>
          <w:szCs w:val="15"/>
          <w:highlight w:val="none"/>
        </w:rPr>
        <w:t>，</w:t>
      </w:r>
      <w:r>
        <w:rPr>
          <w:rFonts w:hint="eastAsia"/>
          <w:sz w:val="15"/>
          <w:szCs w:val="15"/>
          <w:highlight w:val="none"/>
          <w:lang w:val="en-US" w:eastAsia="zh-CN"/>
        </w:rPr>
        <w:t>132336198111220816</w:t>
      </w:r>
      <w:r>
        <w:rPr>
          <w:rFonts w:hint="eastAsia"/>
          <w:sz w:val="15"/>
          <w:szCs w:val="15"/>
        </w:rPr>
        <w:t xml:space="preserve">  </w:t>
      </w:r>
      <w:r>
        <w:rPr>
          <w:rFonts w:hint="eastAsia"/>
          <w:sz w:val="15"/>
          <w:szCs w:val="15"/>
          <w:lang w:val="en-US" w:eastAsia="zh-CN"/>
        </w:rPr>
        <w:t>冀AZ7452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