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刘建钢</w:t>
      </w:r>
      <w:r>
        <w:rPr>
          <w:rFonts w:hint="eastAsia"/>
          <w:sz w:val="15"/>
          <w:szCs w:val="15"/>
          <w:highlight w:val="none"/>
        </w:rPr>
        <w:t>，</w:t>
      </w:r>
      <w:r>
        <w:rPr>
          <w:rFonts w:hint="eastAsia"/>
          <w:sz w:val="15"/>
          <w:szCs w:val="15"/>
          <w:highlight w:val="none"/>
          <w:lang w:val="en-US" w:eastAsia="zh-CN"/>
        </w:rPr>
        <w:t>132336198111010712</w:t>
      </w:r>
      <w:r>
        <w:rPr>
          <w:rFonts w:hint="eastAsia"/>
          <w:sz w:val="15"/>
          <w:szCs w:val="15"/>
        </w:rPr>
        <w:t xml:space="preserve">  </w:t>
      </w:r>
      <w:r>
        <w:rPr>
          <w:rFonts w:hint="eastAsia"/>
          <w:sz w:val="15"/>
          <w:szCs w:val="15"/>
          <w:lang w:val="en-US" w:eastAsia="zh-CN"/>
        </w:rPr>
        <w:t>冀A92753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