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付文智</w:t>
      </w:r>
      <w:r>
        <w:rPr>
          <w:rFonts w:hint="eastAsia"/>
          <w:sz w:val="15"/>
          <w:szCs w:val="15"/>
          <w:highlight w:val="none"/>
        </w:rPr>
        <w:t>，</w:t>
      </w:r>
      <w:r>
        <w:rPr>
          <w:rFonts w:hint="eastAsia"/>
          <w:sz w:val="15"/>
          <w:szCs w:val="15"/>
          <w:highlight w:val="none"/>
          <w:lang w:val="en-US" w:eastAsia="zh-CN"/>
        </w:rPr>
        <w:t>132336198110211934</w:t>
      </w:r>
      <w:r>
        <w:rPr>
          <w:rFonts w:hint="eastAsia"/>
          <w:sz w:val="15"/>
          <w:szCs w:val="15"/>
        </w:rPr>
        <w:t xml:space="preserve">  </w:t>
      </w:r>
      <w:r>
        <w:rPr>
          <w:rFonts w:hint="eastAsia"/>
          <w:sz w:val="15"/>
          <w:szCs w:val="15"/>
          <w:lang w:val="en-US" w:eastAsia="zh-CN"/>
        </w:rPr>
        <w:t>冀AKX258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