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梁利永</w:t>
      </w:r>
      <w:r>
        <w:rPr>
          <w:rFonts w:hint="eastAsia"/>
          <w:sz w:val="15"/>
          <w:szCs w:val="15"/>
          <w:highlight w:val="none"/>
        </w:rPr>
        <w:t>，</w:t>
      </w:r>
      <w:r>
        <w:rPr>
          <w:rFonts w:hint="eastAsia"/>
          <w:sz w:val="15"/>
          <w:szCs w:val="15"/>
          <w:highlight w:val="none"/>
          <w:lang w:val="en-US" w:eastAsia="zh-CN"/>
        </w:rPr>
        <w:t>132336198109270216</w:t>
      </w:r>
      <w:r>
        <w:rPr>
          <w:rFonts w:hint="eastAsia"/>
          <w:sz w:val="15"/>
          <w:szCs w:val="15"/>
        </w:rPr>
        <w:t xml:space="preserve">  </w:t>
      </w:r>
      <w:r>
        <w:rPr>
          <w:rFonts w:hint="eastAsia"/>
          <w:sz w:val="15"/>
          <w:szCs w:val="15"/>
          <w:lang w:val="en-US" w:eastAsia="zh-CN"/>
        </w:rPr>
        <w:t>冀A37416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