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张艳玲</w:t>
      </w:r>
      <w:r>
        <w:rPr>
          <w:rFonts w:hint="eastAsia"/>
          <w:sz w:val="15"/>
          <w:szCs w:val="15"/>
          <w:highlight w:val="none"/>
        </w:rPr>
        <w:t>，</w:t>
      </w:r>
      <w:r>
        <w:rPr>
          <w:rFonts w:hint="eastAsia"/>
          <w:sz w:val="15"/>
          <w:szCs w:val="15"/>
          <w:highlight w:val="none"/>
          <w:lang w:val="en-US" w:eastAsia="zh-CN"/>
        </w:rPr>
        <w:t>132336198107230720</w:t>
      </w:r>
      <w:r>
        <w:rPr>
          <w:rFonts w:hint="eastAsia"/>
          <w:sz w:val="15"/>
          <w:szCs w:val="15"/>
        </w:rPr>
        <w:t xml:space="preserve">  </w:t>
      </w:r>
      <w:r>
        <w:rPr>
          <w:rFonts w:hint="eastAsia"/>
          <w:sz w:val="15"/>
          <w:szCs w:val="15"/>
          <w:lang w:val="en-US" w:eastAsia="zh-CN"/>
        </w:rPr>
        <w:t>冀A2J758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