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安建勇</w:t>
      </w:r>
      <w:r>
        <w:rPr>
          <w:rFonts w:hint="eastAsia"/>
          <w:sz w:val="15"/>
          <w:szCs w:val="15"/>
          <w:highlight w:val="none"/>
        </w:rPr>
        <w:t>，</w:t>
      </w:r>
      <w:r>
        <w:rPr>
          <w:rFonts w:hint="eastAsia"/>
          <w:sz w:val="15"/>
          <w:szCs w:val="15"/>
          <w:highlight w:val="none"/>
          <w:lang w:val="en-US" w:eastAsia="zh-CN"/>
        </w:rPr>
        <w:t>132336198105300713</w:t>
      </w:r>
      <w:r>
        <w:rPr>
          <w:rFonts w:hint="eastAsia"/>
          <w:sz w:val="15"/>
          <w:szCs w:val="15"/>
        </w:rPr>
        <w:t xml:space="preserve">  </w:t>
      </w:r>
      <w:r>
        <w:rPr>
          <w:rFonts w:hint="eastAsia"/>
          <w:sz w:val="15"/>
          <w:szCs w:val="15"/>
          <w:lang w:val="en-US" w:eastAsia="zh-CN"/>
        </w:rPr>
        <w:t>冀AHW411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