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任岩龙</w:t>
      </w:r>
      <w:r>
        <w:rPr>
          <w:rFonts w:hint="eastAsia"/>
          <w:sz w:val="15"/>
          <w:szCs w:val="15"/>
          <w:highlight w:val="none"/>
        </w:rPr>
        <w:t>，</w:t>
      </w:r>
      <w:r>
        <w:rPr>
          <w:rFonts w:hint="eastAsia"/>
          <w:sz w:val="15"/>
          <w:szCs w:val="15"/>
          <w:highlight w:val="none"/>
          <w:lang w:val="en-US" w:eastAsia="zh-CN"/>
        </w:rPr>
        <w:t>132336198104180713</w:t>
      </w:r>
      <w:r>
        <w:rPr>
          <w:rFonts w:hint="eastAsia"/>
          <w:sz w:val="15"/>
          <w:szCs w:val="15"/>
        </w:rPr>
        <w:t xml:space="preserve">  </w:t>
      </w:r>
      <w:r>
        <w:rPr>
          <w:rFonts w:hint="eastAsia"/>
          <w:sz w:val="15"/>
          <w:szCs w:val="15"/>
          <w:lang w:val="en-US" w:eastAsia="zh-CN"/>
        </w:rPr>
        <w:t>冀A30311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