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段延辉</w:t>
      </w:r>
      <w:r>
        <w:rPr>
          <w:rFonts w:hint="eastAsia"/>
          <w:sz w:val="15"/>
          <w:szCs w:val="15"/>
          <w:highlight w:val="none"/>
        </w:rPr>
        <w:t>，</w:t>
      </w:r>
      <w:r>
        <w:rPr>
          <w:rFonts w:hint="eastAsia"/>
          <w:sz w:val="15"/>
          <w:szCs w:val="15"/>
          <w:highlight w:val="none"/>
          <w:lang w:val="en-US" w:eastAsia="zh-CN"/>
        </w:rPr>
        <w:t>132336198102270619</w:t>
      </w:r>
      <w:r>
        <w:rPr>
          <w:rFonts w:hint="eastAsia"/>
          <w:sz w:val="15"/>
          <w:szCs w:val="15"/>
        </w:rPr>
        <w:t xml:space="preserve">  </w:t>
      </w:r>
      <w:r>
        <w:rPr>
          <w:rFonts w:hint="eastAsia"/>
          <w:sz w:val="15"/>
          <w:szCs w:val="15"/>
          <w:lang w:val="en-US" w:eastAsia="zh-CN"/>
        </w:rPr>
        <w:t>冀A7785U</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