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马艳彬</w:t>
      </w:r>
      <w:r>
        <w:rPr>
          <w:rFonts w:hint="eastAsia"/>
          <w:sz w:val="15"/>
          <w:szCs w:val="15"/>
          <w:highlight w:val="none"/>
        </w:rPr>
        <w:t>，</w:t>
      </w:r>
      <w:r>
        <w:rPr>
          <w:rFonts w:hint="eastAsia"/>
          <w:sz w:val="15"/>
          <w:szCs w:val="15"/>
          <w:highlight w:val="none"/>
          <w:lang w:val="en-US" w:eastAsia="zh-CN"/>
        </w:rPr>
        <w:t>132336198101210737</w:t>
      </w:r>
      <w:r>
        <w:rPr>
          <w:rFonts w:hint="eastAsia"/>
          <w:sz w:val="15"/>
          <w:szCs w:val="15"/>
        </w:rPr>
        <w:t xml:space="preserve">  </w:t>
      </w:r>
      <w:r>
        <w:rPr>
          <w:rFonts w:hint="eastAsia"/>
          <w:sz w:val="15"/>
          <w:szCs w:val="15"/>
          <w:lang w:val="en-US" w:eastAsia="zh-CN"/>
        </w:rPr>
        <w:t>冀AKS211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